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ED5" w:rsidRDefault="00000000" w:rsidP="000F73FD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6C6455" w:rsidRDefault="0051469E" w:rsidP="000F73FD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30</w:t>
      </w:r>
      <w:r w:rsidR="00D338B2">
        <w:rPr>
          <w:b/>
          <w:bCs/>
        </w:rPr>
        <w:t>/2022. (XI. 25.) önkormányzati rendelete</w:t>
      </w:r>
    </w:p>
    <w:p w:rsidR="006C6455" w:rsidRDefault="00000000" w:rsidP="000F73FD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a temetőkről és a temetkezésről szóló 5/2012. (IV.20.) önkormányzati rendelet módosításáról</w:t>
      </w:r>
    </w:p>
    <w:p w:rsidR="000F73FD" w:rsidRDefault="000F73FD" w:rsidP="000F73FD">
      <w:pPr>
        <w:pStyle w:val="Szvegtrzs"/>
        <w:spacing w:before="220" w:after="0" w:line="240" w:lineRule="auto"/>
        <w:jc w:val="both"/>
      </w:pPr>
      <w:r>
        <w:t>Balatonföldvár Város Önkormányzatának Képviselő-testülete a temetőkről és a temetkezésről szóló 1999. évi XLIII. törvény 41. § (3) bekezdésében kapott felhatalmazás alapján, Magyarország helyi önkormányzatairól szóló 2011. évi CLXXXIX. törvény 13. § (1) bekezdés 2. pontjában meghatározott feladatkörében eljárva a következőket rendeli el: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>A temetőkről és a temetkezésről szóló 5/2012. (IV.20.) önkormányzati rendelet bevezető része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„Balatonföldvár Város Önkormányzatának Képviselő-testülete a temetőkről és a temetkezésről szóló 1999. évi XLIII. törvény 41. § (3) bekezdésében kapott felhatalmazás alapján, Magyarország helyi önkormányzatairól szóló 2011. évi CLXXXIX. törvény 13. § (1) bekezdés 2. pontjában meghatározott feladatkörében eljárva, a 4. § (</w:t>
      </w:r>
      <w:proofErr w:type="gramStart"/>
      <w:r>
        <w:t>19)-(</w:t>
      </w:r>
      <w:proofErr w:type="gramEnd"/>
      <w:r>
        <w:t>19c) bekezdése tekintetében a fogyasztók területileg illetékes érdekképviseleti szerve véleményének kikérésével, a következőket rendeli el:”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>(1) A temetőkről és a temetkezésről szóló 5/2012. (IV.20.) önkormányzati rendelet 1. § (1) bekezdése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„(1) A rendelet területi hatálya Balatonföldvár város közigazgatási területén lévő és az önkormányzat tulajdonában álló üzemelő temetőkre terjed ki, ahol az önkormányzat a köztemető fenntartására vonatkozó törvényi kötelezettségét teljesíti.”</w:t>
      </w:r>
    </w:p>
    <w:p w:rsidR="000F73FD" w:rsidRDefault="000F73FD" w:rsidP="000F73FD">
      <w:pPr>
        <w:pStyle w:val="Szvegtrzs"/>
        <w:spacing w:before="240" w:after="0" w:line="240" w:lineRule="auto"/>
        <w:jc w:val="both"/>
      </w:pPr>
      <w:r>
        <w:t xml:space="preserve">(2) A temetőkről és a temetkezésről szóló 5/2012. (IV.20.) önkormányzati rendelet 1. §-a </w:t>
      </w:r>
      <w:proofErr w:type="spellStart"/>
      <w:r>
        <w:t>a</w:t>
      </w:r>
      <w:proofErr w:type="spellEnd"/>
      <w:r>
        <w:t xml:space="preserve"> következő (1a) bekezdéssel egészül ki: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„(1a) A rendelet személyi hatálya a kegyeleti szolgáltatások nyújtásában és igénybevételében résztvevőkre, valamint a kegyeleti jogaikat gyakorló személyekre terjed ki.”</w:t>
      </w:r>
    </w:p>
    <w:p w:rsidR="000F73FD" w:rsidRDefault="000F73FD" w:rsidP="000F73FD">
      <w:pPr>
        <w:pStyle w:val="Szvegtrzs"/>
        <w:spacing w:before="240" w:after="0" w:line="240" w:lineRule="auto"/>
        <w:jc w:val="both"/>
      </w:pPr>
      <w:r>
        <w:t>(3) A temetőkről és a temetkezésről szóló 5/2012. (IV.20.) önkormányzati rendelet 1. § (5) bekezdése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„(5) Elhamvasztott halottak maradványait temetőn kívül a temetőkről és a temetkezésről szóló 1999. évi XLIII. törvény végrehajtásáról szóló 145/1999.(X.1.) Kormányrendelet (a továbbiakban: Kr.) 33. § (3), (4) és (5) bekezdése szerinti helyen és módon, a kegyeleti igények és egyéb feltételek betartása mellett lehet elhelyezni.”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>(1) A temetőkről és a temetkezésről szóló 5/2012. (IV.20.) önkormányzati rendelet 4. § (19) bekezdése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„(19) A temetkezési helyek feletti rendelkezési jogért díjat kell fizetni. A díjak mértékét az 1. melléklet tartalmazza. A díjat minden esetben a temetést megelőzően kell megfizetni.”</w:t>
      </w:r>
    </w:p>
    <w:p w:rsidR="000F73FD" w:rsidRDefault="000F73FD" w:rsidP="000F73FD">
      <w:pPr>
        <w:pStyle w:val="Szvegtrzs"/>
        <w:spacing w:before="240" w:after="0" w:line="240" w:lineRule="auto"/>
        <w:jc w:val="both"/>
      </w:pPr>
      <w:r>
        <w:lastRenderedPageBreak/>
        <w:t>(2) A temetőkről és a temetkezésről szóló 5/2012. (IV.20.) önkormányzati rendelet 4. § (19b) bekezdése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„(19b) A temetői létesítmények igénybevételéért a temetkezési szolgáltatók által fizetendő díj mértékét az 1. melléklet tartalmazza. Az igénybevétel díja tartalmazza a ravatalozó használatának és a hulladék elszállításának költségét.”</w:t>
      </w:r>
    </w:p>
    <w:p w:rsidR="000F73FD" w:rsidRDefault="000F73FD" w:rsidP="000F73FD">
      <w:pPr>
        <w:pStyle w:val="Szvegtrzs"/>
        <w:spacing w:before="240" w:after="0" w:line="240" w:lineRule="auto"/>
        <w:jc w:val="both"/>
      </w:pPr>
      <w:r>
        <w:t>(3) A temetőkről és a temetkezésről szóló 5/2012. (IV.20.) önkormányzati rendelet 4. § (23) bekezdése helyébe a következő rendelkezés lép: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 xml:space="preserve">„(23) A Zrínyi utcai urnakápolna esetében a kolumbáriumhoz tartozó, egységes kialakítású kolumbárium </w:t>
      </w:r>
      <w:proofErr w:type="spellStart"/>
      <w:r>
        <w:t>fedlap</w:t>
      </w:r>
      <w:proofErr w:type="spellEnd"/>
      <w:r>
        <w:t xml:space="preserve"> igénybevétele kötelező. A kolumbárium </w:t>
      </w:r>
      <w:proofErr w:type="spellStart"/>
      <w:r>
        <w:t>fedlapot</w:t>
      </w:r>
      <w:proofErr w:type="spellEnd"/>
      <w:r>
        <w:t xml:space="preserve"> az urnahely megváltását követően, kizárólag a szükséges feliratok, vésések és egyéb kőfaragó munkák idejére, a megváltás díját megfizető személy írásos kérelme alapján, az üzemeltető hozzájárulásával szabad leszerelni, és a temető területéről elszállítani.”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 xml:space="preserve">A temetőkről és a temetkezésről szóló 5/2012. (IV.20.) önkormányzati rendelet 9. §-a </w:t>
      </w:r>
      <w:proofErr w:type="spellStart"/>
      <w:r>
        <w:t>a</w:t>
      </w:r>
      <w:proofErr w:type="spellEnd"/>
      <w:r>
        <w:t xml:space="preserve"> következő (15) bekezdéssel egészül ki:</w:t>
      </w:r>
    </w:p>
    <w:p w:rsidR="000F73FD" w:rsidRDefault="000F73FD" w:rsidP="000F73FD">
      <w:pPr>
        <w:pStyle w:val="Szvegtrzs"/>
        <w:spacing w:before="240" w:after="240" w:line="240" w:lineRule="auto"/>
        <w:jc w:val="both"/>
      </w:pPr>
      <w:r>
        <w:t>„(15) A temetkezési szolgáltató a temetést követően köteles a ravatalozó helyiségeit, felszere</w:t>
      </w:r>
      <w:r>
        <w:t>l</w:t>
      </w:r>
      <w:r>
        <w:t>ési tárgyait és környezetét tiszta, rendezett állapotban hagyni, a ravatalozó zárásáról, kulcsainak az üzemeltető részére történő visszajuttatásáról gondoskodni</w:t>
      </w:r>
      <w:proofErr w:type="gramStart"/>
      <w:r>
        <w:t>. ”</w:t>
      </w:r>
      <w:proofErr w:type="gramEnd"/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>A temetőkről és a temetkezésről szóló 5/2012. (IV.20.) önkormányzati rendelet 1. melléklete az 1. melléklet szerint módosul.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0F73FD" w:rsidRDefault="000F73FD" w:rsidP="000F73FD">
      <w:pPr>
        <w:pStyle w:val="Szvegtrzs"/>
        <w:spacing w:after="0" w:line="240" w:lineRule="auto"/>
        <w:jc w:val="both"/>
      </w:pPr>
      <w:r>
        <w:t>Hatályát veszti a temetőkről és a temetkezésről szóló 5/2012. (IV.20.) önkormányzati rendelet</w:t>
      </w:r>
    </w:p>
    <w:p w:rsidR="000F73FD" w:rsidRDefault="000F73FD" w:rsidP="000F73F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5. §-a,</w:t>
      </w:r>
    </w:p>
    <w:p w:rsidR="000F73FD" w:rsidRDefault="000F73FD" w:rsidP="000F73F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10. §-a,</w:t>
      </w:r>
    </w:p>
    <w:p w:rsidR="000F73FD" w:rsidRDefault="000F73FD" w:rsidP="000F73F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1. mellékletében foglalt táblázat 9. sora.</w:t>
      </w:r>
    </w:p>
    <w:p w:rsidR="000F73FD" w:rsidRDefault="000F73FD" w:rsidP="000F73F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0F73FD" w:rsidRDefault="000F73FD" w:rsidP="0051469E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0F73FD" w:rsidRDefault="000F73FD" w:rsidP="0051469E">
      <w:pPr>
        <w:pStyle w:val="Szvegtrzs"/>
        <w:spacing w:after="0" w:line="240" w:lineRule="auto"/>
        <w:jc w:val="both"/>
      </w:pPr>
    </w:p>
    <w:p w:rsidR="0051469E" w:rsidRDefault="000F73FD" w:rsidP="0051469E">
      <w:pPr>
        <w:pStyle w:val="Szvegtrzs"/>
        <w:spacing w:after="0" w:line="240" w:lineRule="auto"/>
        <w:jc w:val="both"/>
      </w:pPr>
      <w:r>
        <w:t>B</w:t>
      </w:r>
      <w:r w:rsidR="0051469E">
        <w:t>alatonföldvár, 2022. november 24.</w:t>
      </w:r>
    </w:p>
    <w:p w:rsidR="0051469E" w:rsidRDefault="0051469E" w:rsidP="0051469E">
      <w:pPr>
        <w:pStyle w:val="Szvegtrzs"/>
        <w:spacing w:after="0" w:line="240" w:lineRule="auto"/>
        <w:jc w:val="both"/>
      </w:pPr>
    </w:p>
    <w:p w:rsidR="0051469E" w:rsidRDefault="0051469E" w:rsidP="0051469E">
      <w:pPr>
        <w:pStyle w:val="Szvegtrzs"/>
        <w:spacing w:after="0" w:line="240" w:lineRule="auto"/>
        <w:jc w:val="both"/>
      </w:pPr>
    </w:p>
    <w:p w:rsidR="0051469E" w:rsidRDefault="0051469E" w:rsidP="0051469E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Holovits</w:t>
      </w:r>
      <w:proofErr w:type="spellEnd"/>
      <w:r>
        <w:rPr>
          <w:b/>
          <w:szCs w:val="20"/>
        </w:rPr>
        <w:t xml:space="preserve">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</w:p>
    <w:p w:rsidR="0051469E" w:rsidRDefault="0051469E" w:rsidP="0051469E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:rsidR="0051469E" w:rsidRDefault="0051469E" w:rsidP="0051469E">
      <w:pPr>
        <w:rPr>
          <w:szCs w:val="20"/>
        </w:rPr>
      </w:pPr>
    </w:p>
    <w:p w:rsidR="0051469E" w:rsidRDefault="0051469E" w:rsidP="0051469E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november 25. napján.</w:t>
      </w:r>
    </w:p>
    <w:p w:rsidR="0051469E" w:rsidRDefault="0051469E" w:rsidP="0051469E">
      <w:pPr>
        <w:rPr>
          <w:szCs w:val="20"/>
        </w:rPr>
      </w:pPr>
    </w:p>
    <w:p w:rsidR="0051469E" w:rsidRDefault="0051469E" w:rsidP="0051469E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p w:rsidR="006C6455" w:rsidRDefault="00000000" w:rsidP="005B4168">
      <w:pPr>
        <w:pStyle w:val="Szvegtrzs"/>
        <w:spacing w:after="0"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1. melléklet</w:t>
      </w:r>
      <w:r w:rsidR="0051469E">
        <w:rPr>
          <w:i/>
          <w:iCs/>
          <w:u w:val="single"/>
        </w:rPr>
        <w:t xml:space="preserve"> a 30/2022. (XI.25.) önkormányzati rendelethez</w:t>
      </w:r>
    </w:p>
    <w:p w:rsidR="005B4168" w:rsidRDefault="005B4168">
      <w:pPr>
        <w:pStyle w:val="Szvegtrzs"/>
        <w:spacing w:before="220" w:after="0" w:line="240" w:lineRule="auto"/>
        <w:jc w:val="both"/>
      </w:pPr>
    </w:p>
    <w:p w:rsidR="006C6455" w:rsidRDefault="00000000">
      <w:pPr>
        <w:pStyle w:val="Szvegtrzs"/>
        <w:spacing w:before="220" w:after="0" w:line="240" w:lineRule="auto"/>
        <w:jc w:val="both"/>
      </w:pPr>
      <w:r>
        <w:t>1. A temetőkről és a temetkezésről szóló 5/2012. (IV.20.) önkormányzati rendelet 1. mellékletében foglalt táblázat 6–8. sora helyébe a következő rendelkezések lépnek:</w:t>
      </w:r>
    </w:p>
    <w:p w:rsidR="006C6455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2045"/>
        <w:gridCol w:w="1752"/>
        <w:gridCol w:w="1752"/>
        <w:gridCol w:w="1752"/>
        <w:gridCol w:w="1753"/>
      </w:tblGrid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6C6455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E)</w:t>
            </w:r>
          </w:p>
        </w:tc>
      </w:tr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Zrínyi utcai Régi temetőben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Urnakápolnában lévő kolumbáriumok különös díjtételei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37.224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 10 évre</w:t>
            </w:r>
            <w:r>
              <w:rPr>
                <w:sz w:val="18"/>
                <w:szCs w:val="18"/>
              </w:rPr>
              <w:br/>
              <w:t>49.632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62.040 Ft + áfa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86.856 Ft + áfa</w:t>
            </w:r>
          </w:p>
        </w:tc>
      </w:tr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6C6455"/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55.836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68.244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99.264 Ft + áfa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124.080 Ft + áfa</w:t>
            </w:r>
          </w:p>
        </w:tc>
      </w:tr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6C6455"/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99.264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186.120 Ft + áfa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186.120 Ft + áfa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359.832 Ft + áfa</w:t>
            </w:r>
          </w:p>
        </w:tc>
      </w:tr>
    </w:tbl>
    <w:p w:rsidR="006C6455" w:rsidRDefault="00000000">
      <w:pPr>
        <w:jc w:val="right"/>
      </w:pPr>
      <w:r>
        <w:t>”</w:t>
      </w:r>
    </w:p>
    <w:p w:rsidR="006C6455" w:rsidRDefault="00000000">
      <w:pPr>
        <w:pStyle w:val="Szvegtrzs"/>
        <w:spacing w:before="220" w:after="0" w:line="240" w:lineRule="auto"/>
        <w:jc w:val="both"/>
      </w:pPr>
      <w:r>
        <w:t>2. A temetőkről és a temetkezésről szóló 5/2012. (IV.20.) önkormányzati rendelet 1. mellékletében foglalt táblázat 10. sora helyébe a következő rendelkezés lép:</w:t>
      </w:r>
    </w:p>
    <w:p w:rsidR="006C6455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2045"/>
        <w:gridCol w:w="1752"/>
        <w:gridCol w:w="1752"/>
        <w:gridCol w:w="1752"/>
        <w:gridCol w:w="1753"/>
      </w:tblGrid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6C6455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E)</w:t>
            </w:r>
          </w:p>
        </w:tc>
      </w:tr>
      <w:tr w:rsidR="006C6455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létesítmények igénybevételének díja temetésenként</w:t>
            </w:r>
          </w:p>
        </w:tc>
        <w:tc>
          <w:tcPr>
            <w:tcW w:w="7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455" w:rsidRDefault="00000000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24.816 Ft + áfa</w:t>
            </w:r>
          </w:p>
        </w:tc>
      </w:tr>
    </w:tbl>
    <w:p w:rsidR="006C6455" w:rsidRDefault="00000000">
      <w:pPr>
        <w:jc w:val="right"/>
      </w:pPr>
      <w:r>
        <w:t>”</w:t>
      </w:r>
    </w:p>
    <w:sectPr w:rsidR="006C645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3AA" w:rsidRDefault="00F453AA">
      <w:r>
        <w:separator/>
      </w:r>
    </w:p>
  </w:endnote>
  <w:endnote w:type="continuationSeparator" w:id="0">
    <w:p w:rsidR="00F453AA" w:rsidRDefault="00F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455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3AA" w:rsidRDefault="00F453AA">
      <w:r>
        <w:separator/>
      </w:r>
    </w:p>
  </w:footnote>
  <w:footnote w:type="continuationSeparator" w:id="0">
    <w:p w:rsidR="00F453AA" w:rsidRDefault="00F4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A79"/>
    <w:multiLevelType w:val="multilevel"/>
    <w:tmpl w:val="CA22209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82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55"/>
    <w:rsid w:val="00062ED5"/>
    <w:rsid w:val="000F73FD"/>
    <w:rsid w:val="00380CE5"/>
    <w:rsid w:val="0051469E"/>
    <w:rsid w:val="005B4168"/>
    <w:rsid w:val="006C6455"/>
    <w:rsid w:val="0080526F"/>
    <w:rsid w:val="00AF76A3"/>
    <w:rsid w:val="00D338B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1576"/>
  <w15:docId w15:val="{2A08FC7D-64C9-4B3A-8E63-28D54207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51469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749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7</cp:revision>
  <cp:lastPrinted>2022-11-16T10:10:00Z</cp:lastPrinted>
  <dcterms:created xsi:type="dcterms:W3CDTF">2022-11-10T08:44:00Z</dcterms:created>
  <dcterms:modified xsi:type="dcterms:W3CDTF">2022-11-16T10:10:00Z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