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35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3C1C4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5/2023. (III. 24.) önkormányzati rendelete</w:t>
      </w:r>
    </w:p>
    <w:p w:rsidR="003C1C4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elnevezéséről és a házszámozás szabályairól</w:t>
      </w:r>
    </w:p>
    <w:p w:rsidR="003C1C41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Képviselő-testülete, Magyarország helyi önkormányzatairól szóló 2011. évi CLXXXIX. törvény 143. § (3) bekezdésében kapott felhatalmazás alapján, Magyarország helyi önkormányzatairól szóló 2011. évi CLXXXIX. törvény 13. § (1) bekezdés 3. pontjában meghatározott feladatkörében eljárva, a következőket rendeli el: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C1C41" w:rsidRDefault="00000000">
      <w:pPr>
        <w:pStyle w:val="Szvegtrzs"/>
        <w:spacing w:after="0" w:line="240" w:lineRule="auto"/>
        <w:jc w:val="both"/>
      </w:pPr>
      <w:r>
        <w:t>Balatonföldvár város közigazgatási területén közterületet elnevezni, házszámot megállapítani, a korábban megállapított közterület elnevezést és házszámot megváltoztatni e rendelet szabályai szerint lehet.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C1C41" w:rsidRDefault="00000000">
      <w:pPr>
        <w:pStyle w:val="Szvegtrzs"/>
        <w:spacing w:after="0" w:line="240" w:lineRule="auto"/>
        <w:jc w:val="both"/>
      </w:pPr>
      <w:r>
        <w:t>E rendelet alkalmazásában: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Közterület: az épített környezet alakításáról és védelméről szóló törvény szerinti közterület,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Közterületnév: a központi címregiszterről és a címkezelésről szóló kormányrendelet szerinti közterületnév,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Házszám: a központi címregiszterről és a címkezelésről szóló kormányrendelet szerinti házszám.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Az újonnan létesített közterület nevét a létrejöttét követő egy éven belül kell megállapítani.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Közterület elnevezését a megállapításától számított tíz éven belül nem lehet megváltoztatni.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A lakótelkek épületei közötti úgynevezett szerviz utakat, továbbá a mezőgazdasági célú és lakónépességet nem érintő dűlőutakat nem szükséges elnevezni.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(4) Az elnevezett utca természetes folytatásaként nyíló új útszakasz általában külön elnevezési eljárás nélkül a már elnevezett utca nevét veszi fel.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közterület elnevezésénél figyelemmel kell lenni Balatonföldvár város jellegére, történelmére, hagyományaira, földrajzi sajátosságaira. Az elnevezés lehetőleg utaljon a közterületnek a városon belüli elhelyezkedésére és helytörténeti vonatkozásaira.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város közigazgatási területén több azonos elnevezésű közterület nem lehet.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Közterületet személyről, tárgyról, állatról, növényről, történelmi eseményről, földrajzi névről vagy fogalomról lehet elnevezni.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közterület elnevezése során törekedni kell arra, hogy az elnevezés rövid és közérthető, a magyar nyelvhelyesség szabályainak megfelelő legyen.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személyről történő elnevezés során törekedni kell arra, hogy az elnevezés olyan személynek állítson emléket, aki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társadalmi élet bármely területén kimagasló érdemeket szerzett és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élete, munkássága valamely módon kötődik Balatonföldvárhoz.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Kivételes esetben Balatonföldvárhoz nem kötődő, de az emberiség egyetemes történelmében kiemelkedő jelentőségű személyről is elnevezhető közterület.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közterület elnevezésének megállapítását vagy megváltoztatását kezdeményezheti: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polgármester,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jegyző,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képviselő-testület bizottsága,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helyi önkormányzat képviselője,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Balatonföldvár város közigazgatási területén bejelentett lakcímmel rendelkező állampolgár,</w:t>
      </w:r>
    </w:p>
    <w:p w:rsidR="003C1C41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Balatonföldvár város közigazgatási területén ingatlannal, székhellyel, telephellyel rendelkező természetes vagy jogi személy.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beérkezett javaslatokat a Humán Bizottság véleményezi.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Közterület elnevezését érintő döntés meghozatala előtt szakmai vélemény kérhető a Földrajzinév-bizottságtól.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C1C41" w:rsidRDefault="00000000">
      <w:pPr>
        <w:pStyle w:val="Szvegtrzs"/>
        <w:spacing w:after="0" w:line="240" w:lineRule="auto"/>
        <w:jc w:val="both"/>
      </w:pPr>
      <w:r>
        <w:t>A közterület elnevezésére vonatkozó előterjesztést két fordulóban kell tárgyalni, és a két forduló között legalább 15 napra közzé kell tenni az önkormányzat weboldalán. Az elnevezéssel kapcsolatban benyújtott észrevételeket is a képviselő-testület elé kell terjeszteni.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C1C41" w:rsidRDefault="00000000">
      <w:pPr>
        <w:pStyle w:val="Szvegtrzs"/>
        <w:spacing w:after="0" w:line="240" w:lineRule="auto"/>
        <w:jc w:val="both"/>
      </w:pPr>
      <w:r>
        <w:t>A közterület elnevezésével kapcsolatos döntést ki kell hirdetni, és közzé kell tenni az önkormányzat weboldalán.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Az ingatlanokat - a központi címregiszterről és a címkezelésről szóló kormányrendelet 2. §-ában foglaltak figyelembevételével - házszámmal kell ellátni.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házszámozásnál figyelemmel kell lenni azon beépítetlen telkekre is, amelyek a későbbi beépítéskor a közbenső házszámot kapják.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Ingatlan megosztása esetén, ha az újonnan kialakuló telek ugyanarra a közterületre nyílik, a házszámot az ABC per jellel elválasztott, ékezet nélküli nagybetűivel kell megkülönböztetni.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(4) Nyúlványos (nyeles) telek kialakításánál az ingatlanmegosztás szabályait kell figyelembe venni.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lastRenderedPageBreak/>
        <w:t>(5) Ha egy ingatlan több közterülettel is érintkezik, a házszámot arról a közterületről kell megállapítani, amely felől az ingatlan bejárata megközelíthető.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házszám megállapítását úgy kell elvégezni, hogy a házszámok a város központjától kifelé haladva, 1-től kezdődően növekedjenek. Az utca bal oldala páros, a jobb oldala páratlan házszámot kap.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Terek esetén a házszámozás 1-től kezdődően folyamatos, az óramutató járásával megegyező irányú.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A földrajzi okokból csak egyik oldalán beépíthető utca házszámozása 1-től kezdődően folyamatos.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közterületek nevét jól látható módon, névtáblán kell feltüntetni.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névtáblát a saroktelek kerítésén, ennek hiányában a saroképületen vagy külön tartószerkezeten kell elhelyezni.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(3) A névtábla kihelyezésével érintett ingatlan tulajdonosa vagy használója a névtábla kihelyezését tűrni köteles.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(4) A névtáblák kihelyezéséről, karbantartásáról, szükség szerinti cseréjéről az önkormányzat a Balatonföldvári Nonprofit Kft. útján gondoskodik.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3C1C41" w:rsidRDefault="00000000">
      <w:pPr>
        <w:pStyle w:val="Szvegtrzs"/>
        <w:spacing w:after="0" w:line="240" w:lineRule="auto"/>
        <w:jc w:val="both"/>
      </w:pPr>
      <w:r>
        <w:t>A közterület elnevezésének megváltozása esetén a régi elnevezést feltüntető névtáblát, a változásról szóló döntést követő egy évig, piros átlós vonallal áthúzva az eredeti helyén kell hagyni. Az új elnevezést feltüntető névtáblát közvetlenül a régi fölött vagy alatt kell elhelyezni.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3C1C41" w:rsidRDefault="00000000">
      <w:pPr>
        <w:pStyle w:val="Szvegtrzs"/>
        <w:spacing w:after="0" w:line="240" w:lineRule="auto"/>
        <w:jc w:val="both"/>
      </w:pPr>
      <w:r>
        <w:t>(1) A házszámot jelző táblát az ingatlan utcafronti kerítésére, házfalára, az utcáról jól látható módon kell az ingatlan használójának, kezelőjének, ennek hiányában tulajdonosának elhelyezni.</w:t>
      </w:r>
    </w:p>
    <w:p w:rsidR="003C1C41" w:rsidRDefault="00000000">
      <w:pPr>
        <w:pStyle w:val="Szvegtrzs"/>
        <w:spacing w:before="240" w:after="0" w:line="240" w:lineRule="auto"/>
        <w:jc w:val="both"/>
      </w:pPr>
      <w:r>
        <w:t>(2) A házszámot jelző tábla beszerzéséről, kihelyezéséről, olvasható állapotban tartásáról, szükség szerint cseréjéről és pótlásáról az (1) bekezdés szerinti kötelezett gondoskodik.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3C1C41" w:rsidRDefault="00000000">
      <w:pPr>
        <w:pStyle w:val="Szvegtrzs"/>
        <w:spacing w:after="0" w:line="240" w:lineRule="auto"/>
        <w:jc w:val="both"/>
      </w:pPr>
      <w:r>
        <w:t>Hatályát veszti a közterületek elnevezéséről és a házszámozás szabályairól szóló 12/2013. (X.18.) önkormányzati rendelet.</w:t>
      </w:r>
    </w:p>
    <w:p w:rsidR="003C1C4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3C1C41" w:rsidRDefault="00000000" w:rsidP="0082335F">
      <w:pPr>
        <w:pStyle w:val="Szvegtrzs"/>
        <w:spacing w:after="0" w:line="240" w:lineRule="auto"/>
        <w:jc w:val="both"/>
      </w:pPr>
      <w:r>
        <w:t>Ez a rendelet 2023. április 1-jén lép hatályba</w:t>
      </w:r>
      <w:r w:rsidR="0082335F">
        <w:t>.</w:t>
      </w:r>
    </w:p>
    <w:p w:rsidR="0082335F" w:rsidRDefault="0082335F" w:rsidP="0082335F">
      <w:pPr>
        <w:pStyle w:val="Szvegtrzs"/>
        <w:spacing w:after="0" w:line="240" w:lineRule="auto"/>
        <w:jc w:val="both"/>
      </w:pPr>
    </w:p>
    <w:p w:rsidR="0082335F" w:rsidRDefault="0082335F" w:rsidP="0082335F">
      <w:pPr>
        <w:pStyle w:val="Szvegtrzs"/>
        <w:spacing w:after="0" w:line="240" w:lineRule="auto"/>
        <w:jc w:val="both"/>
      </w:pPr>
      <w:r>
        <w:t xml:space="preserve">Balatonföldvár, 2023. </w:t>
      </w:r>
      <w:r>
        <w:t>március 23.</w:t>
      </w:r>
    </w:p>
    <w:p w:rsidR="0082335F" w:rsidRDefault="0082335F" w:rsidP="0082335F">
      <w:pPr>
        <w:pStyle w:val="Szvegtrzs"/>
        <w:spacing w:after="0" w:line="240" w:lineRule="auto"/>
        <w:jc w:val="both"/>
      </w:pPr>
    </w:p>
    <w:p w:rsidR="0082335F" w:rsidRDefault="0082335F" w:rsidP="0082335F">
      <w:pPr>
        <w:pStyle w:val="Szvegtrzs"/>
        <w:spacing w:after="0" w:line="240" w:lineRule="auto"/>
        <w:jc w:val="both"/>
      </w:pPr>
    </w:p>
    <w:p w:rsidR="0082335F" w:rsidRPr="005F7F95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lastRenderedPageBreak/>
        <w:t>Holovits György Huba</w:t>
      </w:r>
      <w:r>
        <w:rPr>
          <w:rFonts w:eastAsia="SimSun"/>
          <w:b/>
        </w:rPr>
        <w:tab/>
        <w:t>Dr. Törőcsik Gabriella</w:t>
      </w:r>
      <w:r w:rsidRPr="005F7F95">
        <w:rPr>
          <w:rFonts w:eastAsia="SimSun"/>
          <w:b/>
        </w:rPr>
        <w:t xml:space="preserve">                           </w:t>
      </w:r>
    </w:p>
    <w:p w:rsidR="0082335F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82335F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82335F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82335F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82335F" w:rsidRPr="005F7F95" w:rsidRDefault="0082335F" w:rsidP="0082335F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82335F" w:rsidRPr="005F7F95" w:rsidRDefault="0082335F" w:rsidP="0082335F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82335F" w:rsidRPr="005F7F95" w:rsidRDefault="0082335F" w:rsidP="0082335F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23. </w:t>
      </w:r>
      <w:r>
        <w:rPr>
          <w:rFonts w:eastAsia="SimSun"/>
        </w:rPr>
        <w:t>március</w:t>
      </w:r>
      <w:r>
        <w:rPr>
          <w:rFonts w:eastAsia="SimSun"/>
        </w:rPr>
        <w:t xml:space="preserve"> 24. </w:t>
      </w:r>
      <w:r w:rsidRPr="005F7F95">
        <w:rPr>
          <w:rFonts w:eastAsia="SimSun"/>
        </w:rPr>
        <w:t>napján.</w:t>
      </w:r>
    </w:p>
    <w:p w:rsidR="0082335F" w:rsidRDefault="0082335F" w:rsidP="0082335F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82335F" w:rsidRDefault="0082335F" w:rsidP="0082335F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82335F" w:rsidRPr="005F7F95" w:rsidRDefault="0082335F" w:rsidP="0082335F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 w:rsidRPr="005F7F95"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>Dr. Törőcsik Gabriella</w:t>
      </w:r>
      <w:r w:rsidRPr="005F7F95">
        <w:rPr>
          <w:rFonts w:eastAsia="SimSun"/>
          <w:b/>
        </w:rPr>
        <w:t xml:space="preserve">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p w:rsidR="0082335F" w:rsidRDefault="0082335F" w:rsidP="0082335F">
      <w:pPr>
        <w:pStyle w:val="Szvegtrzs"/>
        <w:spacing w:after="0" w:line="240" w:lineRule="auto"/>
        <w:jc w:val="both"/>
      </w:pPr>
    </w:p>
    <w:sectPr w:rsidR="0082335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B1B" w:rsidRDefault="00C50B1B">
      <w:r>
        <w:separator/>
      </w:r>
    </w:p>
  </w:endnote>
  <w:endnote w:type="continuationSeparator" w:id="0">
    <w:p w:rsidR="00C50B1B" w:rsidRDefault="00C5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C41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B1B" w:rsidRDefault="00C50B1B">
      <w:r>
        <w:separator/>
      </w:r>
    </w:p>
  </w:footnote>
  <w:footnote w:type="continuationSeparator" w:id="0">
    <w:p w:rsidR="00C50B1B" w:rsidRDefault="00C5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457C"/>
    <w:multiLevelType w:val="multilevel"/>
    <w:tmpl w:val="D96EE1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650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41"/>
    <w:rsid w:val="00176B5D"/>
    <w:rsid w:val="003C1C41"/>
    <w:rsid w:val="0082335F"/>
    <w:rsid w:val="00C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A38C"/>
  <w15:docId w15:val="{2B49A5DC-B7BD-4297-A276-2764694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2335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5587</Characters>
  <Application>Microsoft Office Word</Application>
  <DocSecurity>0</DocSecurity>
  <Lines>46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dcterms:created xsi:type="dcterms:W3CDTF">2023-03-16T14:32:00Z</dcterms:created>
  <dcterms:modified xsi:type="dcterms:W3CDTF">2023-03-16T14:35:00Z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