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EEE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:rsidR="0036344D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16/2023. (VI. 23.) önkormányzati rendelete</w:t>
      </w:r>
    </w:p>
    <w:p w:rsidR="0036344D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temetőkről és a temetkezésről szóló 5/2012. (IV.20.) önkormányzati rendelet módosításáról</w:t>
      </w:r>
    </w:p>
    <w:p w:rsidR="00CC15AE" w:rsidRDefault="00CC15AE" w:rsidP="00CC15AE">
      <w:pPr>
        <w:pStyle w:val="Szvegtrzs"/>
        <w:spacing w:before="220" w:after="0" w:line="240" w:lineRule="auto"/>
        <w:jc w:val="both"/>
      </w:pPr>
      <w:r>
        <w:t>Balatonföldvár Város Önkormányzatának Képviselő-testülete a temetőkről és a temetkezésről szóló 1999. évi XLIII. törvény 41. § (3) bekezdésében kapott felhatalmazás alapján, Magyarország helyi önkormányzatairól szóló 2011. évi CLXXXIX. törvény 13. § (1) bekezdés 2. pontjában meghatározott feladatkörében eljárva, a fogyasztók területileg illetékes érdekképviseleti szerve véleményének kikérésével, a következőket rendeli el:</w:t>
      </w:r>
    </w:p>
    <w:p w:rsidR="0036344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36344D" w:rsidRDefault="00000000">
      <w:pPr>
        <w:pStyle w:val="Szvegtrzs"/>
        <w:spacing w:after="0" w:line="240" w:lineRule="auto"/>
        <w:jc w:val="both"/>
      </w:pPr>
      <w:r>
        <w:t>A temetőkről és a temetkezésről szóló 5/2012. (IV.20.) önkormányzati rendelet 1. melléklete helyébe az 1. melléklet lép.</w:t>
      </w:r>
    </w:p>
    <w:p w:rsidR="0036344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A93EEE" w:rsidRDefault="00000000">
      <w:pPr>
        <w:pStyle w:val="Szvegtrzs"/>
        <w:spacing w:after="0" w:line="240" w:lineRule="auto"/>
        <w:jc w:val="both"/>
      </w:pPr>
      <w:r>
        <w:t>Ez a rendelet 2023. július 1-jén lép hatályba.</w:t>
      </w:r>
    </w:p>
    <w:p w:rsidR="00A93EEE" w:rsidRDefault="00A93EEE">
      <w:pPr>
        <w:pStyle w:val="Szvegtrzs"/>
        <w:spacing w:after="0" w:line="240" w:lineRule="auto"/>
        <w:jc w:val="both"/>
      </w:pPr>
    </w:p>
    <w:p w:rsidR="00A93EEE" w:rsidRDefault="00A93EEE" w:rsidP="00A93EEE">
      <w:pPr>
        <w:pStyle w:val="Szvegtrzs"/>
        <w:spacing w:after="0" w:line="240" w:lineRule="auto"/>
        <w:jc w:val="both"/>
      </w:pPr>
      <w:r>
        <w:t>Balatonföldvár, 2023. június 22.</w:t>
      </w:r>
    </w:p>
    <w:p w:rsidR="00A93EEE" w:rsidRDefault="00A93EEE" w:rsidP="00A93EEE">
      <w:pPr>
        <w:pStyle w:val="Szvegtrzs"/>
        <w:spacing w:after="0" w:line="240" w:lineRule="auto"/>
        <w:jc w:val="both"/>
      </w:pPr>
    </w:p>
    <w:p w:rsidR="00A93EEE" w:rsidRDefault="00A93EEE" w:rsidP="00A93EEE">
      <w:pPr>
        <w:pStyle w:val="Szvegtrzs"/>
        <w:spacing w:after="0" w:line="240" w:lineRule="auto"/>
        <w:jc w:val="both"/>
      </w:pPr>
    </w:p>
    <w:p w:rsidR="00A93EEE" w:rsidRDefault="00A93EEE" w:rsidP="00A93EEE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proofErr w:type="spellStart"/>
      <w:r>
        <w:rPr>
          <w:rFonts w:eastAsia="SimSun"/>
          <w:b/>
        </w:rPr>
        <w:t>Holovits</w:t>
      </w:r>
      <w:proofErr w:type="spellEnd"/>
      <w:r>
        <w:rPr>
          <w:rFonts w:eastAsia="SimSun"/>
          <w:b/>
        </w:rPr>
        <w:t xml:space="preserve"> György Huba</w:t>
      </w:r>
      <w:r>
        <w:rPr>
          <w:rFonts w:eastAsia="SimSun"/>
          <w:b/>
        </w:rPr>
        <w:tab/>
        <w:t xml:space="preserve">Dr. Törőcsik Gabriella                           </w:t>
      </w:r>
    </w:p>
    <w:p w:rsidR="00A93EEE" w:rsidRDefault="00A93EEE" w:rsidP="00A93EEE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r>
        <w:rPr>
          <w:rFonts w:eastAsia="SimSun"/>
          <w:b/>
        </w:rPr>
        <w:t xml:space="preserve">        polgármester</w:t>
      </w:r>
      <w:r>
        <w:rPr>
          <w:rFonts w:eastAsia="SimSun"/>
          <w:b/>
        </w:rPr>
        <w:tab/>
        <w:t>jegyző</w:t>
      </w:r>
    </w:p>
    <w:p w:rsidR="00A93EEE" w:rsidRDefault="00A93EEE" w:rsidP="00A93EEE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A93EEE" w:rsidRDefault="00A93EEE" w:rsidP="00A93EEE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A93EEE" w:rsidRDefault="00A93EEE" w:rsidP="00A93EEE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A93EEE" w:rsidRDefault="00A93EEE" w:rsidP="00A93EEE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A93EEE" w:rsidRDefault="00A93EEE" w:rsidP="00A93EEE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A93EEE" w:rsidRDefault="00A93EEE" w:rsidP="00A93EEE">
      <w:pPr>
        <w:widowControl w:val="0"/>
        <w:tabs>
          <w:tab w:val="center" w:pos="6804"/>
        </w:tabs>
        <w:spacing w:line="100" w:lineRule="atLeast"/>
        <w:ind w:right="11"/>
        <w:jc w:val="both"/>
        <w:rPr>
          <w:rFonts w:eastAsia="SimSun"/>
        </w:rPr>
      </w:pPr>
      <w:r>
        <w:rPr>
          <w:rFonts w:eastAsia="SimSun"/>
          <w:u w:val="single"/>
        </w:rPr>
        <w:t>Kihirdetve:</w:t>
      </w:r>
      <w:r>
        <w:rPr>
          <w:rFonts w:eastAsia="SimSun"/>
        </w:rPr>
        <w:t xml:space="preserve"> a Balatonföldvári Közös Önkormányzati Hivatal hirdetőtábláján 15 napra elhelyezett hirdetménnyel 2023. június 23. napján.</w:t>
      </w:r>
    </w:p>
    <w:p w:rsidR="00A93EEE" w:rsidRDefault="00A93EEE" w:rsidP="00A93EEE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A93EEE" w:rsidRDefault="00A93EEE" w:rsidP="00A93EEE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A93EEE" w:rsidRDefault="00A93EEE" w:rsidP="00A93EEE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  <w:b/>
          <w:bCs/>
        </w:rPr>
      </w:pPr>
      <w:r>
        <w:rPr>
          <w:rFonts w:eastAsia="SimSun"/>
          <w:b/>
        </w:rPr>
        <w:tab/>
        <w:t xml:space="preserve">          Dr. Törőcsik Gabriella                           </w:t>
      </w:r>
      <w:r>
        <w:rPr>
          <w:rFonts w:eastAsia="SimSun"/>
          <w:b/>
        </w:rPr>
        <w:tab/>
        <w:t xml:space="preserve">          jegyző </w:t>
      </w:r>
    </w:p>
    <w:p w:rsidR="00A93EEE" w:rsidRDefault="00A93EEE" w:rsidP="00A93EEE">
      <w:pPr>
        <w:pStyle w:val="Szvegtrzs"/>
        <w:spacing w:after="0" w:line="240" w:lineRule="auto"/>
        <w:jc w:val="both"/>
      </w:pPr>
    </w:p>
    <w:p w:rsidR="0036344D" w:rsidRDefault="00000000">
      <w:pPr>
        <w:pStyle w:val="Szvegtrzs"/>
        <w:spacing w:after="0" w:line="240" w:lineRule="auto"/>
        <w:jc w:val="both"/>
      </w:pPr>
      <w:r>
        <w:br w:type="page"/>
      </w:r>
    </w:p>
    <w:p w:rsidR="0036344D" w:rsidRDefault="0000000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16/2023. (VI. 23.) önkormányzati rendelethez</w:t>
      </w:r>
    </w:p>
    <w:p w:rsidR="0036344D" w:rsidRDefault="0000000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:rsidR="0036344D" w:rsidRPr="00CC15AE" w:rsidRDefault="00000000">
      <w:pPr>
        <w:pStyle w:val="Szvegtrzs"/>
        <w:spacing w:before="240" w:after="48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</w:rPr>
        <w:t xml:space="preserve">A temetési hely megváltás, a temetői létesítmények igénybevétele és a temető-fenntartási </w:t>
      </w:r>
      <w:r w:rsidRPr="00CC15AE">
        <w:rPr>
          <w:b/>
          <w:bCs/>
          <w:sz w:val="18"/>
          <w:szCs w:val="18"/>
        </w:rPr>
        <w:t>hozzájárulás díjai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2021"/>
        <w:gridCol w:w="1058"/>
        <w:gridCol w:w="674"/>
        <w:gridCol w:w="674"/>
        <w:gridCol w:w="1058"/>
        <w:gridCol w:w="1058"/>
        <w:gridCol w:w="674"/>
        <w:gridCol w:w="481"/>
        <w:gridCol w:w="1251"/>
      </w:tblGrid>
      <w:tr w:rsidR="0036344D" w:rsidRPr="00CC15AE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36344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C15AE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C15AE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C15AE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C15AE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C15AE"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36344D" w:rsidRPr="00CC15A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C15A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36344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b/>
                <w:bCs/>
                <w:sz w:val="18"/>
                <w:szCs w:val="18"/>
              </w:rPr>
              <w:t>helyi lakos volt</w:t>
            </w:r>
            <w:r w:rsidRPr="00CC15AE">
              <w:rPr>
                <w:sz w:val="18"/>
                <w:szCs w:val="18"/>
              </w:rPr>
              <w:br/>
            </w:r>
            <w:r w:rsidRPr="00CC15AE">
              <w:rPr>
                <w:i/>
                <w:iCs/>
                <w:sz w:val="18"/>
                <w:szCs w:val="18"/>
              </w:rPr>
              <w:t>(amennyiben a halálát megelőző legalább 3 évig az állandó lakóhelye vagy tartózkodási helye Balatonföldváron volt)</w:t>
            </w: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br/>
            </w:r>
            <w:r w:rsidRPr="00CC15AE">
              <w:rPr>
                <w:sz w:val="18"/>
                <w:szCs w:val="18"/>
              </w:rPr>
              <w:br/>
            </w:r>
            <w:r w:rsidRPr="00CC15AE">
              <w:rPr>
                <w:b/>
                <w:bCs/>
                <w:sz w:val="18"/>
                <w:szCs w:val="18"/>
              </w:rPr>
              <w:t>nem volt helyi lakos</w:t>
            </w:r>
          </w:p>
        </w:tc>
      </w:tr>
      <w:tr w:rsidR="0036344D" w:rsidRPr="00CC15A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C15A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b/>
                <w:bCs/>
                <w:sz w:val="18"/>
                <w:szCs w:val="18"/>
              </w:rPr>
              <w:t>sírhely,</w:t>
            </w:r>
            <w:r w:rsidRPr="00CC15AE">
              <w:rPr>
                <w:sz w:val="18"/>
                <w:szCs w:val="18"/>
              </w:rPr>
              <w:br/>
            </w:r>
            <w:r w:rsidRPr="00CC15AE">
              <w:rPr>
                <w:b/>
                <w:bCs/>
                <w:sz w:val="18"/>
                <w:szCs w:val="18"/>
              </w:rPr>
              <w:t>urnasírhely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egyes sírhely</w:t>
            </w:r>
            <w:r w:rsidRPr="00CC15AE">
              <w:rPr>
                <w:sz w:val="18"/>
                <w:szCs w:val="18"/>
              </w:rPr>
              <w:br/>
              <w:t>25 évre</w:t>
            </w:r>
            <w:r w:rsidRPr="00CC15AE">
              <w:rPr>
                <w:sz w:val="18"/>
                <w:szCs w:val="18"/>
              </w:rPr>
              <w:br/>
              <w:t>17.123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kettes sírhely</w:t>
            </w:r>
            <w:r w:rsidRPr="00CC15AE">
              <w:rPr>
                <w:sz w:val="18"/>
                <w:szCs w:val="18"/>
              </w:rPr>
              <w:br/>
              <w:t>25 évre</w:t>
            </w:r>
            <w:r w:rsidRPr="00CC15AE">
              <w:rPr>
                <w:sz w:val="18"/>
                <w:szCs w:val="18"/>
              </w:rPr>
              <w:br/>
              <w:t>28.538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egyes sírhely</w:t>
            </w:r>
            <w:r w:rsidRPr="00CC15AE">
              <w:rPr>
                <w:sz w:val="18"/>
                <w:szCs w:val="18"/>
              </w:rPr>
              <w:br/>
              <w:t>25 évre</w:t>
            </w:r>
            <w:r w:rsidRPr="00CC15AE">
              <w:rPr>
                <w:sz w:val="18"/>
                <w:szCs w:val="18"/>
              </w:rPr>
              <w:br/>
              <w:t>71.346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kettes sírhely</w:t>
            </w:r>
            <w:r w:rsidRPr="00CC15AE">
              <w:rPr>
                <w:sz w:val="18"/>
                <w:szCs w:val="18"/>
              </w:rPr>
              <w:br/>
              <w:t>25 évre</w:t>
            </w:r>
            <w:r w:rsidRPr="00CC15AE">
              <w:rPr>
                <w:sz w:val="18"/>
                <w:szCs w:val="18"/>
              </w:rPr>
              <w:br/>
              <w:t>142.692 Ft + áfa</w:t>
            </w:r>
          </w:p>
        </w:tc>
      </w:tr>
      <w:tr w:rsidR="0036344D" w:rsidRPr="00CC15A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C15A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br/>
            </w:r>
            <w:r w:rsidRPr="00CC15AE">
              <w:rPr>
                <w:b/>
                <w:bCs/>
                <w:sz w:val="18"/>
                <w:szCs w:val="18"/>
              </w:rPr>
              <w:t>kripta</w:t>
            </w:r>
            <w:r w:rsidRPr="00CC15AE">
              <w:rPr>
                <w:sz w:val="18"/>
                <w:szCs w:val="18"/>
              </w:rPr>
              <w:br/>
            </w:r>
            <w:r w:rsidRPr="00CC15AE">
              <w:rPr>
                <w:sz w:val="18"/>
                <w:szCs w:val="18"/>
              </w:rPr>
              <w:br/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két férőhely 60 évre</w:t>
            </w:r>
            <w:r w:rsidRPr="00CC15AE">
              <w:rPr>
                <w:sz w:val="18"/>
                <w:szCs w:val="18"/>
              </w:rPr>
              <w:br/>
              <w:t>53.509 Ft + áfa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négy férőhely 60 évre</w:t>
            </w:r>
            <w:r w:rsidRPr="00CC15AE">
              <w:rPr>
                <w:sz w:val="18"/>
                <w:szCs w:val="18"/>
              </w:rPr>
              <w:br/>
              <w:t>107.019 Ft + áfa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hat férőhely 60 évre</w:t>
            </w:r>
            <w:r w:rsidRPr="00CC15AE">
              <w:rPr>
                <w:sz w:val="18"/>
                <w:szCs w:val="18"/>
              </w:rPr>
              <w:br/>
              <w:t>160.528 Ft + áfa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két férőhely 60 évre</w:t>
            </w:r>
            <w:r w:rsidRPr="00CC15AE">
              <w:rPr>
                <w:sz w:val="18"/>
                <w:szCs w:val="18"/>
              </w:rPr>
              <w:br/>
              <w:t>249.711 Ft + áfa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négy férőhely 60 évre</w:t>
            </w:r>
            <w:r w:rsidRPr="00CC15AE">
              <w:rPr>
                <w:sz w:val="18"/>
                <w:szCs w:val="18"/>
              </w:rPr>
              <w:br/>
              <w:t>499.422 Ft + áfa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hat férőhely 60 évre</w:t>
            </w:r>
            <w:r w:rsidRPr="00CC15AE">
              <w:rPr>
                <w:sz w:val="18"/>
                <w:szCs w:val="18"/>
              </w:rPr>
              <w:br/>
              <w:t>749.133 Ft + áfa</w:t>
            </w:r>
          </w:p>
        </w:tc>
      </w:tr>
      <w:tr w:rsidR="0036344D" w:rsidRPr="00CC15A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C15A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b/>
                <w:bCs/>
                <w:sz w:val="18"/>
                <w:szCs w:val="18"/>
              </w:rPr>
              <w:t>urnafülke</w:t>
            </w:r>
            <w:r w:rsidRPr="00CC15AE">
              <w:rPr>
                <w:sz w:val="18"/>
                <w:szCs w:val="18"/>
              </w:rPr>
              <w:br/>
            </w:r>
            <w:r w:rsidRPr="00CC15AE">
              <w:rPr>
                <w:b/>
                <w:bCs/>
                <w:sz w:val="18"/>
                <w:szCs w:val="18"/>
              </w:rPr>
              <w:t>/kolumbárium/</w:t>
            </w: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Egy urnahelyes kolumbárium</w:t>
            </w:r>
            <w:r w:rsidRPr="00CC15AE">
              <w:rPr>
                <w:sz w:val="18"/>
                <w:szCs w:val="18"/>
              </w:rPr>
              <w:br/>
              <w:t>10 évre</w:t>
            </w:r>
            <w:r w:rsidRPr="00CC15AE">
              <w:rPr>
                <w:sz w:val="18"/>
                <w:szCs w:val="18"/>
              </w:rPr>
              <w:br/>
              <w:t>14.269 Ft + áfa</w:t>
            </w: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Egy urnahelyes kolumbárium</w:t>
            </w:r>
            <w:r w:rsidRPr="00CC15AE">
              <w:rPr>
                <w:sz w:val="18"/>
                <w:szCs w:val="18"/>
              </w:rPr>
              <w:br/>
              <w:t>10 évre</w:t>
            </w:r>
            <w:r w:rsidRPr="00CC15AE">
              <w:rPr>
                <w:sz w:val="18"/>
                <w:szCs w:val="18"/>
              </w:rPr>
              <w:br/>
              <w:t>59.931 Ft + áfa</w:t>
            </w:r>
          </w:p>
        </w:tc>
      </w:tr>
      <w:tr w:rsidR="0036344D" w:rsidRPr="00CC15A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C15A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C15AE">
              <w:rPr>
                <w:b/>
                <w:bCs/>
                <w:sz w:val="18"/>
                <w:szCs w:val="18"/>
              </w:rPr>
              <w:t>urnasírbolt</w:t>
            </w: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20 évre</w:t>
            </w:r>
            <w:r w:rsidRPr="00CC15AE">
              <w:rPr>
                <w:sz w:val="18"/>
                <w:szCs w:val="18"/>
              </w:rPr>
              <w:br/>
              <w:t>28.538 Ft + áfa</w:t>
            </w: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20 évre</w:t>
            </w:r>
            <w:r w:rsidRPr="00CC15AE">
              <w:rPr>
                <w:sz w:val="18"/>
                <w:szCs w:val="18"/>
              </w:rPr>
              <w:br/>
              <w:t>85.615 Ft + áfa</w:t>
            </w:r>
          </w:p>
        </w:tc>
      </w:tr>
      <w:tr w:rsidR="0036344D" w:rsidRPr="00CC15A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C15A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br/>
            </w:r>
            <w:r w:rsidRPr="00CC15AE">
              <w:rPr>
                <w:b/>
                <w:bCs/>
                <w:sz w:val="18"/>
                <w:szCs w:val="18"/>
              </w:rPr>
              <w:t>Zrínyi utcai Régi temetőben</w:t>
            </w:r>
            <w:r w:rsidRPr="00CC15AE">
              <w:rPr>
                <w:sz w:val="18"/>
                <w:szCs w:val="18"/>
              </w:rPr>
              <w:t xml:space="preserve"> </w:t>
            </w:r>
            <w:r w:rsidRPr="00CC15AE">
              <w:rPr>
                <w:b/>
                <w:bCs/>
                <w:sz w:val="18"/>
                <w:szCs w:val="18"/>
              </w:rPr>
              <w:t>Urnakápolnában lévő kolumbáriumok különös díjtételei</w:t>
            </w:r>
            <w:r w:rsidRPr="00CC15AE">
              <w:rPr>
                <w:sz w:val="18"/>
                <w:szCs w:val="18"/>
              </w:rPr>
              <w:br/>
            </w:r>
            <w:r w:rsidRPr="00CC15AE">
              <w:rPr>
                <w:sz w:val="18"/>
                <w:szCs w:val="18"/>
              </w:rPr>
              <w:br/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Egy urnahelyes kolumbárium</w:t>
            </w:r>
            <w:r w:rsidRPr="00CC15AE">
              <w:rPr>
                <w:sz w:val="18"/>
                <w:szCs w:val="18"/>
              </w:rPr>
              <w:br/>
              <w:t>10 évre</w:t>
            </w:r>
            <w:r w:rsidRPr="00CC15AE">
              <w:rPr>
                <w:sz w:val="18"/>
                <w:szCs w:val="18"/>
              </w:rPr>
              <w:br/>
              <w:t>42.808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Két urnahelyes kolumbárium 10 évre</w:t>
            </w:r>
            <w:r w:rsidRPr="00CC15AE">
              <w:rPr>
                <w:sz w:val="18"/>
                <w:szCs w:val="18"/>
              </w:rPr>
              <w:br/>
              <w:t>57.077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Egy urnahelyes kolumbárium</w:t>
            </w:r>
            <w:r w:rsidRPr="00CC15AE">
              <w:rPr>
                <w:sz w:val="18"/>
                <w:szCs w:val="18"/>
              </w:rPr>
              <w:br/>
              <w:t>10 évre</w:t>
            </w:r>
            <w:r w:rsidRPr="00CC15AE">
              <w:rPr>
                <w:sz w:val="18"/>
                <w:szCs w:val="18"/>
              </w:rPr>
              <w:br/>
              <w:t>71.346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Két urnahelyes kolumbárium</w:t>
            </w:r>
            <w:r w:rsidRPr="00CC15AE">
              <w:rPr>
                <w:sz w:val="18"/>
                <w:szCs w:val="18"/>
              </w:rPr>
              <w:br/>
              <w:t>10 évre</w:t>
            </w:r>
            <w:r w:rsidRPr="00CC15AE">
              <w:rPr>
                <w:sz w:val="18"/>
                <w:szCs w:val="18"/>
              </w:rPr>
              <w:br/>
              <w:t>99.884 Ft + áfa</w:t>
            </w:r>
          </w:p>
        </w:tc>
      </w:tr>
      <w:tr w:rsidR="0036344D" w:rsidRPr="00CC15A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C15A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36344D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Egy urnahelyes kolumbárium</w:t>
            </w:r>
            <w:r w:rsidRPr="00CC15AE">
              <w:rPr>
                <w:sz w:val="18"/>
                <w:szCs w:val="18"/>
              </w:rPr>
              <w:br/>
              <w:t>20 évre</w:t>
            </w:r>
            <w:r w:rsidRPr="00CC15AE">
              <w:rPr>
                <w:sz w:val="18"/>
                <w:szCs w:val="18"/>
              </w:rPr>
              <w:br/>
              <w:t>64.211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Két urnahelyes kolumbárium</w:t>
            </w:r>
            <w:r w:rsidRPr="00CC15AE">
              <w:rPr>
                <w:sz w:val="18"/>
                <w:szCs w:val="18"/>
              </w:rPr>
              <w:br/>
              <w:t>20 évre</w:t>
            </w:r>
            <w:r w:rsidRPr="00CC15AE">
              <w:rPr>
                <w:sz w:val="18"/>
                <w:szCs w:val="18"/>
              </w:rPr>
              <w:br/>
              <w:t>78.481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Egy urnahelyes kolumbárium</w:t>
            </w:r>
            <w:r w:rsidRPr="00CC15AE">
              <w:rPr>
                <w:sz w:val="18"/>
                <w:szCs w:val="18"/>
              </w:rPr>
              <w:br/>
              <w:t>20 évre</w:t>
            </w:r>
            <w:r w:rsidRPr="00CC15AE">
              <w:rPr>
                <w:sz w:val="18"/>
                <w:szCs w:val="18"/>
              </w:rPr>
              <w:br/>
              <w:t>114.154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Két urnahelyes kolumbárium</w:t>
            </w:r>
            <w:r w:rsidRPr="00CC15AE">
              <w:rPr>
                <w:sz w:val="18"/>
                <w:szCs w:val="18"/>
              </w:rPr>
              <w:br/>
              <w:t>20 évre</w:t>
            </w:r>
            <w:r w:rsidRPr="00CC15AE">
              <w:rPr>
                <w:sz w:val="18"/>
                <w:szCs w:val="18"/>
              </w:rPr>
              <w:br/>
              <w:t>142.692 Ft + áfa</w:t>
            </w:r>
          </w:p>
        </w:tc>
      </w:tr>
      <w:tr w:rsidR="0036344D" w:rsidRPr="00CC15A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C15A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36344D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Egy urnahelyes kolumbárium</w:t>
            </w:r>
            <w:r w:rsidRPr="00CC15AE">
              <w:rPr>
                <w:sz w:val="18"/>
                <w:szCs w:val="18"/>
              </w:rPr>
              <w:br/>
              <w:t>örökös megváltással</w:t>
            </w:r>
            <w:r w:rsidRPr="00CC15AE">
              <w:rPr>
                <w:sz w:val="18"/>
                <w:szCs w:val="18"/>
              </w:rPr>
              <w:br/>
              <w:t>114.154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Két urnahelyes kolumbárium</w:t>
            </w:r>
            <w:r w:rsidRPr="00CC15AE">
              <w:rPr>
                <w:sz w:val="18"/>
                <w:szCs w:val="18"/>
              </w:rPr>
              <w:br/>
              <w:t>örökös megváltással</w:t>
            </w:r>
            <w:r w:rsidRPr="00CC15AE">
              <w:rPr>
                <w:sz w:val="18"/>
                <w:szCs w:val="18"/>
              </w:rPr>
              <w:br/>
              <w:t>214.038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Egy urnahelyes kolumbárium</w:t>
            </w:r>
            <w:r w:rsidRPr="00CC15AE">
              <w:rPr>
                <w:sz w:val="18"/>
                <w:szCs w:val="18"/>
              </w:rPr>
              <w:br/>
              <w:t>örökös megváltással</w:t>
            </w:r>
            <w:r w:rsidRPr="00CC15AE">
              <w:rPr>
                <w:sz w:val="18"/>
                <w:szCs w:val="18"/>
              </w:rPr>
              <w:br/>
              <w:t>214.038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Két urnahelyes kolumbárium</w:t>
            </w:r>
            <w:r w:rsidRPr="00CC15AE">
              <w:rPr>
                <w:sz w:val="18"/>
                <w:szCs w:val="18"/>
              </w:rPr>
              <w:br/>
              <w:t>örökös megváltással</w:t>
            </w:r>
            <w:r w:rsidRPr="00CC15AE">
              <w:rPr>
                <w:sz w:val="18"/>
                <w:szCs w:val="18"/>
              </w:rPr>
              <w:br/>
              <w:t>413.807 Ft + áfa</w:t>
            </w:r>
          </w:p>
        </w:tc>
      </w:tr>
      <w:tr w:rsidR="0036344D" w:rsidRPr="00CC15A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C15A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36344D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36344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344D" w:rsidRPr="00CC15A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C15A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C15AE">
              <w:rPr>
                <w:b/>
                <w:bCs/>
                <w:sz w:val="18"/>
                <w:szCs w:val="18"/>
              </w:rPr>
              <w:t>létesítmények igénybevételének díja temetésenként</w:t>
            </w:r>
          </w:p>
        </w:tc>
        <w:tc>
          <w:tcPr>
            <w:tcW w:w="6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28.538 Ft + áfa</w:t>
            </w:r>
          </w:p>
        </w:tc>
      </w:tr>
      <w:tr w:rsidR="0036344D" w:rsidRPr="00CC15A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C15A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C15AE">
              <w:rPr>
                <w:b/>
                <w:bCs/>
                <w:sz w:val="18"/>
                <w:szCs w:val="18"/>
              </w:rPr>
              <w:t xml:space="preserve">temető fenntartási hozzájárulás díja </w:t>
            </w:r>
            <w:proofErr w:type="spellStart"/>
            <w:r w:rsidRPr="00CC15AE">
              <w:rPr>
                <w:b/>
                <w:bCs/>
                <w:sz w:val="18"/>
                <w:szCs w:val="18"/>
              </w:rPr>
              <w:t>munkánként</w:t>
            </w:r>
            <w:proofErr w:type="spellEnd"/>
            <w:r w:rsidRPr="00CC15AE">
              <w:rPr>
                <w:b/>
                <w:bCs/>
                <w:sz w:val="18"/>
                <w:szCs w:val="18"/>
              </w:rPr>
              <w:t xml:space="preserve"> naponta</w:t>
            </w:r>
          </w:p>
        </w:tc>
        <w:tc>
          <w:tcPr>
            <w:tcW w:w="6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4D" w:rsidRPr="00CC15AE" w:rsidRDefault="0000000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15AE">
              <w:rPr>
                <w:sz w:val="18"/>
                <w:szCs w:val="18"/>
              </w:rPr>
              <w:t>3.567 Ft + áfa / munka / nap</w:t>
            </w:r>
          </w:p>
        </w:tc>
      </w:tr>
    </w:tbl>
    <w:p w:rsidR="0036344D" w:rsidRPr="00CC15AE" w:rsidRDefault="00000000">
      <w:pPr>
        <w:jc w:val="right"/>
        <w:rPr>
          <w:sz w:val="18"/>
          <w:szCs w:val="18"/>
        </w:rPr>
      </w:pPr>
      <w:r w:rsidRPr="00CC15AE">
        <w:rPr>
          <w:sz w:val="18"/>
          <w:szCs w:val="18"/>
        </w:rPr>
        <w:t>”</w:t>
      </w:r>
    </w:p>
    <w:sectPr w:rsidR="0036344D" w:rsidRPr="00CC15AE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3BE6" w:rsidRDefault="00823BE6">
      <w:r>
        <w:separator/>
      </w:r>
    </w:p>
  </w:endnote>
  <w:endnote w:type="continuationSeparator" w:id="0">
    <w:p w:rsidR="00823BE6" w:rsidRDefault="0082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44D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3BE6" w:rsidRDefault="00823BE6">
      <w:r>
        <w:separator/>
      </w:r>
    </w:p>
  </w:footnote>
  <w:footnote w:type="continuationSeparator" w:id="0">
    <w:p w:rsidR="00823BE6" w:rsidRDefault="00823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C04"/>
    <w:multiLevelType w:val="multilevel"/>
    <w:tmpl w:val="EFC6370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43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4D"/>
    <w:rsid w:val="0036344D"/>
    <w:rsid w:val="00823BE6"/>
    <w:rsid w:val="00A93EEE"/>
    <w:rsid w:val="00BC245E"/>
    <w:rsid w:val="00CC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63C5"/>
  <w15:docId w15:val="{CB23DFB6-BB84-4324-BC8A-B4D1EEA0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A93EEE"/>
    <w:rPr>
      <w:rFonts w:ascii="Times New Roman" w:hAnsi="Times New Roman"/>
      <w:lang w:val="hu-HU"/>
    </w:rPr>
  </w:style>
  <w:style w:type="character" w:customStyle="1" w:styleId="FootnoteCharacters">
    <w:name w:val="Footnote Characters"/>
    <w:qFormat/>
    <w:rsid w:val="00CC15AE"/>
  </w:style>
  <w:style w:type="character" w:customStyle="1" w:styleId="FootnoteAnchor">
    <w:name w:val="Footnote Anchor"/>
    <w:rsid w:val="00CC15AE"/>
    <w:rPr>
      <w:vertAlign w:val="superscript"/>
    </w:rPr>
  </w:style>
  <w:style w:type="paragraph" w:styleId="Lbjegyzetszveg">
    <w:name w:val="footnote text"/>
    <w:basedOn w:val="Norml"/>
    <w:link w:val="LbjegyzetszvegChar"/>
    <w:rsid w:val="00CC15AE"/>
    <w:pPr>
      <w:suppressLineNumbers/>
      <w:ind w:left="339" w:hanging="339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C15AE"/>
    <w:rPr>
      <w:rFonts w:ascii="Times New Roman" w:hAnsi="Times New Roman"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4</cp:revision>
  <cp:lastPrinted>2023-06-13T07:02:00Z</cp:lastPrinted>
  <dcterms:created xsi:type="dcterms:W3CDTF">2023-06-12T13:24:00Z</dcterms:created>
  <dcterms:modified xsi:type="dcterms:W3CDTF">2023-06-13T07:02:00Z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